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27" w:rsidRPr="00894B27" w:rsidRDefault="00894B27" w:rsidP="00894B27">
      <w:pPr>
        <w:spacing w:after="200" w:line="276" w:lineRule="auto"/>
        <w:jc w:val="both"/>
        <w:rPr>
          <w:rFonts w:ascii="Sylfaen" w:eastAsia="Times New Roman" w:hAnsi="Sylfaen" w:cs="Times New Roman"/>
          <w:b/>
          <w:lang w:val="ka-GE"/>
        </w:rPr>
      </w:pPr>
    </w:p>
    <w:p w:rsidR="00894B27" w:rsidRPr="00894B27" w:rsidRDefault="00894B27" w:rsidP="00894B27">
      <w:pPr>
        <w:spacing w:after="200" w:line="276" w:lineRule="auto"/>
        <w:jc w:val="right"/>
        <w:rPr>
          <w:rFonts w:ascii="Sylfaen" w:eastAsia="Times New Roman" w:hAnsi="Sylfaen" w:cs="Times New Roman"/>
          <w:b/>
          <w:sz w:val="24"/>
          <w:szCs w:val="24"/>
          <w:lang w:val="ka-GE"/>
        </w:rPr>
      </w:pPr>
      <w:r w:rsidRPr="00894B27">
        <w:rPr>
          <w:rFonts w:ascii="Sylfaen" w:eastAsia="Times New Roman" w:hAnsi="Sylfaen" w:cs="Times New Roman"/>
          <w:b/>
          <w:sz w:val="24"/>
          <w:szCs w:val="24"/>
          <w:lang w:val="ka-GE"/>
        </w:rPr>
        <w:t>დანართი N2</w:t>
      </w:r>
    </w:p>
    <w:p w:rsidR="00894B27" w:rsidRPr="00894B27" w:rsidRDefault="00894B27" w:rsidP="00894B27">
      <w:pPr>
        <w:spacing w:after="200" w:line="276" w:lineRule="auto"/>
        <w:jc w:val="center"/>
        <w:rPr>
          <w:rFonts w:ascii="Sylfaen" w:eastAsia="Times New Roman" w:hAnsi="Sylfaen" w:cs="Times New Roman"/>
          <w:b/>
          <w:sz w:val="24"/>
          <w:szCs w:val="24"/>
          <w:lang w:val="ka-GE"/>
        </w:rPr>
      </w:pPr>
      <w:r w:rsidRPr="00894B27">
        <w:rPr>
          <w:rFonts w:ascii="Sylfaen" w:eastAsia="Times New Roman" w:hAnsi="Sylfaen" w:cs="Times New Roman"/>
          <w:b/>
          <w:sz w:val="24"/>
          <w:szCs w:val="24"/>
          <w:lang w:val="ka-GE"/>
        </w:rPr>
        <w:t>„ახმეტის მუნიციპალიტეტის მოსახლეობის სოციალური დახმარების 2020 წლის პროგრამის ბიუჯეტი</w:t>
      </w:r>
    </w:p>
    <w:tbl>
      <w:tblPr>
        <w:tblStyle w:val="TableGrid"/>
        <w:tblW w:w="0" w:type="auto"/>
        <w:tblInd w:w="-635" w:type="dxa"/>
        <w:tblLook w:val="04A0" w:firstRow="1" w:lastRow="0" w:firstColumn="1" w:lastColumn="0" w:noHBand="0" w:noVBand="1"/>
      </w:tblPr>
      <w:tblGrid>
        <w:gridCol w:w="630"/>
        <w:gridCol w:w="3782"/>
        <w:gridCol w:w="1869"/>
        <w:gridCol w:w="2708"/>
        <w:gridCol w:w="996"/>
      </w:tblGrid>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N</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პროგრამის დასახელება</w:t>
            </w:r>
          </w:p>
        </w:tc>
        <w:tc>
          <w:tcPr>
            <w:tcW w:w="1869"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ბენეფიციართა  სავარაუდო</w:t>
            </w:r>
          </w:p>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რაოდენობა</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სოციალური დახმარების ოდენობა ლარებში</w:t>
            </w:r>
          </w:p>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ერთ პირზე/ოჯახზე</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სულ</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2</w:t>
            </w:r>
          </w:p>
        </w:tc>
        <w:tc>
          <w:tcPr>
            <w:tcW w:w="1869"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3</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4</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5</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ელექტროენერგიის ან ბუნებრივი აირის  გადასახადის თანადაფინანსება წელიწადში 100 ლარის ოდენობით შემდეგ პირებზე:</w:t>
            </w:r>
          </w:p>
          <w:p w:rsidR="00894B27" w:rsidRPr="00894B27" w:rsidRDefault="00894B27" w:rsidP="00894B27">
            <w:pPr>
              <w:numPr>
                <w:ilvl w:val="0"/>
                <w:numId w:val="1"/>
              </w:numPr>
              <w:contextualSpacing/>
              <w:jc w:val="both"/>
              <w:rPr>
                <w:rFonts w:ascii="Sylfaen" w:hAnsi="Sylfaen"/>
                <w:lang w:val="ka-GE"/>
              </w:rPr>
            </w:pPr>
            <w:r w:rsidRPr="00894B27">
              <w:rPr>
                <w:rFonts w:ascii="Sylfaen" w:hAnsi="Sylfaen"/>
                <w:lang w:val="ka-GE"/>
              </w:rPr>
              <w:t>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80 000-მდე (ქულის მინიჭების თარიღიდან გასული უნდა იყოს არაუმეტეს ორი  წელი);</w:t>
            </w:r>
          </w:p>
          <w:p w:rsidR="00894B27" w:rsidRPr="00894B27" w:rsidRDefault="00894B27" w:rsidP="00894B27">
            <w:pPr>
              <w:numPr>
                <w:ilvl w:val="0"/>
                <w:numId w:val="1"/>
              </w:numPr>
              <w:contextualSpacing/>
              <w:jc w:val="both"/>
              <w:rPr>
                <w:rFonts w:ascii="Sylfaen" w:hAnsi="Sylfaen"/>
                <w:lang w:val="ka-GE"/>
              </w:rPr>
            </w:pPr>
            <w:r w:rsidRPr="00894B27">
              <w:rPr>
                <w:rFonts w:ascii="Sylfaen" w:hAnsi="Sylfaen"/>
                <w:lang w:val="ka-GE"/>
              </w:rPr>
              <w:t>მრავალშვილიანი ოჯახები, რომელთაც ჰყავთ 4 და მეტი არასრულწლოვანი შვილი და არ იღებენ „დემოგრაფიული მდგომარეობის გაუმჯობესების ხელშეწყობის მიზნობრივი სახელმწიფო პროგრამის“ მე-5 პუნქტის პირველი პუნქტით გათვალისწინებულ ბენეფიციართათვის იმავე მუხლის მე-2 პუნქტით გათვალისწინებული ყოველთვიურ ფულად დახმარებას;</w:t>
            </w:r>
          </w:p>
          <w:p w:rsidR="00894B27" w:rsidRPr="00894B27" w:rsidRDefault="00894B27" w:rsidP="00894B27">
            <w:pPr>
              <w:numPr>
                <w:ilvl w:val="0"/>
                <w:numId w:val="1"/>
              </w:numPr>
              <w:contextualSpacing/>
              <w:jc w:val="both"/>
              <w:rPr>
                <w:rFonts w:ascii="Sylfaen" w:hAnsi="Sylfaen"/>
                <w:lang w:val="ka-GE"/>
              </w:rPr>
            </w:pPr>
            <w:r w:rsidRPr="00894B27">
              <w:rPr>
                <w:rFonts w:ascii="Sylfaen" w:hAnsi="Sylfaen"/>
                <w:lang w:val="ka-GE"/>
              </w:rPr>
              <w:t>მარტოხელა მშობლის სტატუსის მქონე პირები.</w:t>
            </w:r>
          </w:p>
          <w:p w:rsidR="00894B27" w:rsidRPr="00894B27" w:rsidRDefault="00894B27" w:rsidP="00894B27">
            <w:pPr>
              <w:rPr>
                <w:rFonts w:ascii="Sylfaen" w:eastAsia="Times New Roman" w:hAnsi="Sylfaen"/>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112</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sz w:val="24"/>
                <w:szCs w:val="24"/>
                <w:lang w:val="ka-GE"/>
              </w:rPr>
              <w:t>100</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tabs>
                <w:tab w:val="center" w:pos="453"/>
              </w:tabs>
              <w:jc w:val="center"/>
              <w:rPr>
                <w:rFonts w:ascii="Sylfaen" w:eastAsia="Times New Roman" w:hAnsi="Sylfaen"/>
                <w:sz w:val="24"/>
                <w:szCs w:val="24"/>
                <w:lang w:val="ka-GE"/>
              </w:rPr>
            </w:pPr>
            <w:r w:rsidRPr="00894B27">
              <w:rPr>
                <w:rFonts w:ascii="Sylfaen" w:eastAsia="Times New Roman" w:hAnsi="Sylfaen"/>
                <w:sz w:val="24"/>
                <w:szCs w:val="24"/>
                <w:lang w:val="ka-GE"/>
              </w:rPr>
              <w:t>11 275</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lastRenderedPageBreak/>
              <w:t>2</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 xml:space="preserve">ეკონომიკურად გაჭირვებულ და სოციალურად დაუცველ მოქალაქეთა სტაციონარული მკურნალობის, ოპერაციისა (სახელმწიფოს მიერ ასანაზღაურებელი თანხის გათვალისწინებით) და ლაბორატორიული გამოკვლევების დაფინანსება, აგრეთვე </w:t>
            </w:r>
            <w:proofErr w:type="spellStart"/>
            <w:r w:rsidRPr="00894B27">
              <w:rPr>
                <w:rFonts w:ascii="Sylfaen" w:eastAsia="Times New Roman" w:hAnsi="Sylfaen"/>
                <w:lang w:val="ka-GE"/>
              </w:rPr>
              <w:t>ცერებრალური</w:t>
            </w:r>
            <w:proofErr w:type="spellEnd"/>
            <w:r w:rsidRPr="00894B27">
              <w:rPr>
                <w:rFonts w:ascii="Sylfaen" w:eastAsia="Times New Roman" w:hAnsi="Sylfaen"/>
                <w:lang w:val="ka-GE"/>
              </w:rPr>
              <w:t xml:space="preserve"> დამბლით დაავადებულ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 - 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250 000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3</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შეზღუდული შესაძლებლობის მქონე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33</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rPr>
                <w:rFonts w:ascii="Sylfaen" w:eastAsia="Times New Roman" w:hAnsi="Sylfaen"/>
                <w:lang w:val="ka-GE"/>
              </w:rPr>
            </w:pPr>
            <w:r w:rsidRPr="00894B27">
              <w:rPr>
                <w:rFonts w:ascii="Sylfaen" w:eastAsia="Times New Roman" w:hAnsi="Sylfaen"/>
                <w:lang w:val="ka-GE"/>
              </w:rPr>
              <w:t>საახალწლოდ - 125</w:t>
            </w:r>
          </w:p>
          <w:p w:rsidR="00894B27" w:rsidRPr="00894B27" w:rsidRDefault="00894B27" w:rsidP="00894B27">
            <w:pPr>
              <w:rPr>
                <w:rFonts w:ascii="Sylfaen" w:eastAsia="Times New Roman" w:hAnsi="Sylfaen"/>
                <w:lang w:val="ka-GE"/>
              </w:rPr>
            </w:pPr>
            <w:r w:rsidRPr="00894B27">
              <w:rPr>
                <w:rFonts w:ascii="Sylfaen" w:eastAsia="Times New Roman" w:hAnsi="Sylfaen"/>
                <w:lang w:val="ka-GE"/>
              </w:rPr>
              <w:t>სააღდგომოდ - 100</w:t>
            </w:r>
          </w:p>
          <w:p w:rsidR="00894B27" w:rsidRPr="00894B27" w:rsidRDefault="00894B27" w:rsidP="00894B27">
            <w:pPr>
              <w:rPr>
                <w:rFonts w:ascii="Sylfaen" w:eastAsia="Times New Roman" w:hAnsi="Sylfaen"/>
                <w:lang w:val="ka-GE"/>
              </w:rPr>
            </w:pPr>
            <w:r w:rsidRPr="00894B27">
              <w:rPr>
                <w:rFonts w:ascii="Sylfaen" w:eastAsia="Times New Roman" w:hAnsi="Sylfaen"/>
                <w:lang w:val="ka-GE"/>
              </w:rPr>
              <w:t>სულ - 225</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4125</w:t>
            </w:r>
          </w:p>
          <w:p w:rsidR="00894B27" w:rsidRPr="00894B27" w:rsidRDefault="00894B27" w:rsidP="00894B27">
            <w:pPr>
              <w:jc w:val="center"/>
              <w:rPr>
                <w:rFonts w:ascii="Sylfaen" w:eastAsia="Times New Roman" w:hAnsi="Sylfaen"/>
              </w:rPr>
            </w:pPr>
            <w:r w:rsidRPr="00894B27">
              <w:rPr>
                <w:rFonts w:ascii="Sylfaen" w:eastAsia="Times New Roman" w:hAnsi="Sylfaen"/>
              </w:rPr>
              <w:t>2972</w:t>
            </w: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სულ 7097</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4</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უდედმამო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rPr>
                <w:rFonts w:ascii="Sylfaen" w:eastAsia="Times New Roman" w:hAnsi="Sylfaen"/>
                <w:lang w:val="ka-GE"/>
              </w:rPr>
            </w:pPr>
            <w:r w:rsidRPr="00894B27">
              <w:rPr>
                <w:rFonts w:ascii="Sylfaen" w:eastAsia="Times New Roman" w:hAnsi="Sylfaen"/>
                <w:lang w:val="ka-GE"/>
              </w:rPr>
              <w:t>საახალწლოდ - 125</w:t>
            </w:r>
          </w:p>
          <w:p w:rsidR="00894B27" w:rsidRPr="00894B27" w:rsidRDefault="00894B27" w:rsidP="00894B27">
            <w:pPr>
              <w:rPr>
                <w:rFonts w:ascii="Sylfaen" w:eastAsia="Times New Roman" w:hAnsi="Sylfaen"/>
                <w:lang w:val="ka-GE"/>
              </w:rPr>
            </w:pPr>
            <w:r w:rsidRPr="00894B27">
              <w:rPr>
                <w:rFonts w:ascii="Sylfaen" w:eastAsia="Times New Roman" w:hAnsi="Sylfaen"/>
                <w:lang w:val="ka-GE"/>
              </w:rPr>
              <w:t>სააღდგომოდ - 100</w:t>
            </w:r>
          </w:p>
          <w:p w:rsidR="00894B27" w:rsidRPr="00894B27" w:rsidRDefault="00894B27" w:rsidP="00894B27">
            <w:pPr>
              <w:rPr>
                <w:rFonts w:ascii="Sylfaen" w:eastAsia="Times New Roman" w:hAnsi="Sylfaen"/>
                <w:lang w:val="ka-GE"/>
              </w:rPr>
            </w:pPr>
            <w:r w:rsidRPr="00894B27">
              <w:rPr>
                <w:rFonts w:ascii="Sylfaen" w:eastAsia="Times New Roman" w:hAnsi="Sylfaen"/>
                <w:lang w:val="ka-GE"/>
              </w:rPr>
              <w:t>სულ- 225</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125</w:t>
            </w: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200</w:t>
            </w: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სულ - 325</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5</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95 წელს გადაცილებულ ხანდაზმულთა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16</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100</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1600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6</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საქართველოს ტერიტორიული მთლიანობისათვის ბრძოლაში დაღუპულთა ოჯახები</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9</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250</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2250</w:t>
            </w:r>
          </w:p>
        </w:tc>
      </w:tr>
      <w:tr w:rsidR="00894B27" w:rsidRPr="00894B27" w:rsidTr="00894B27">
        <w:trPr>
          <w:trHeight w:val="2681"/>
        </w:trPr>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7</w:t>
            </w:r>
          </w:p>
        </w:tc>
        <w:tc>
          <w:tcPr>
            <w:tcW w:w="3782"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ომის ვეტერანთა სადღესასწაულო და დაკრძალვის სარიტუალო ხარჯები</w:t>
            </w:r>
          </w:p>
          <w:p w:rsidR="00894B27" w:rsidRPr="00894B27" w:rsidRDefault="00894B27" w:rsidP="00894B27">
            <w:pPr>
              <w:jc w:val="both"/>
              <w:rPr>
                <w:rFonts w:ascii="Sylfaen" w:eastAsia="Times New Roman" w:hAnsi="Sylfaen"/>
                <w:lang w:val="ka-GE"/>
              </w:rPr>
            </w:pPr>
          </w:p>
          <w:p w:rsidR="00894B27" w:rsidRPr="00894B27" w:rsidRDefault="00894B27" w:rsidP="00894B27">
            <w:pPr>
              <w:jc w:val="both"/>
              <w:rPr>
                <w:rFonts w:ascii="Sylfaen" w:eastAsia="Times New Roman" w:hAnsi="Sylfaen"/>
                <w:color w:val="FF0000"/>
                <w:lang w:val="ka-GE"/>
              </w:rPr>
            </w:pPr>
            <w:r w:rsidRPr="00894B27">
              <w:rPr>
                <w:rFonts w:ascii="Sylfaen" w:eastAsia="Times New Roman" w:hAnsi="Sylfaen"/>
                <w:lang w:val="ka-GE"/>
              </w:rPr>
              <w:t>ომის ვეტერანთა სარიტუალო ხარჯები</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3</w:t>
            </w: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10</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ა) სამამულო ომის ვეტერანების სადღესასწაულო დახმარება 9 მაისისთვის - 250</w:t>
            </w:r>
          </w:p>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ბ) ომის ვეტერანთა სარიტუალო ხარჯების დაფინანსება - 250</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750</w:t>
            </w: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2500</w:t>
            </w: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სულ 3250</w:t>
            </w:r>
          </w:p>
          <w:p w:rsidR="00894B27" w:rsidRPr="00894B27" w:rsidRDefault="00894B27" w:rsidP="00894B27">
            <w:pPr>
              <w:jc w:val="center"/>
              <w:rPr>
                <w:rFonts w:ascii="Sylfaen" w:eastAsia="Times New Roman" w:hAnsi="Sylfaen"/>
                <w:lang w:val="ka-GE"/>
              </w:rPr>
            </w:pP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8</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 xml:space="preserve">ოჯახების დახმარება პირველი და მეორე ბავშვის შეძენის შემთხვევაში, ერთჯერადად, </w:t>
            </w:r>
            <w:r w:rsidRPr="00894B27">
              <w:rPr>
                <w:rFonts w:ascii="Sylfaen" w:eastAsia="Times New Roman" w:hAnsi="Sylfaen"/>
                <w:lang w:val="ka-GE"/>
              </w:rPr>
              <w:lastRenderedPageBreak/>
              <w:t>ბავშვის ერთი წლის ასაკამდე, (გარდა მაღალმთიან დასახლებაში მუდმივად მცხოვრები ოჯახებისა)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b/>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120</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rPr>
                <w:rFonts w:ascii="Sylfaen" w:eastAsia="Times New Roman" w:hAnsi="Sylfaen"/>
                <w:lang w:val="ka-GE"/>
              </w:rPr>
            </w:pPr>
            <w:r w:rsidRPr="00894B27">
              <w:rPr>
                <w:rFonts w:ascii="Sylfaen" w:eastAsia="Times New Roman" w:hAnsi="Sylfaen"/>
                <w:lang w:val="ka-GE"/>
              </w:rPr>
              <w:t>ა) პირველი ბავშვის შეძენის შემთხვევაში - 100 ლარი;</w:t>
            </w:r>
          </w:p>
          <w:p w:rsidR="00894B27" w:rsidRPr="00894B27" w:rsidRDefault="00894B27" w:rsidP="00894B27">
            <w:pPr>
              <w:rPr>
                <w:rFonts w:ascii="Sylfaen" w:eastAsia="Times New Roman" w:hAnsi="Sylfaen"/>
                <w:lang w:val="ka-GE"/>
              </w:rPr>
            </w:pPr>
            <w:r w:rsidRPr="00894B27">
              <w:rPr>
                <w:rFonts w:ascii="Sylfaen" w:eastAsia="Times New Roman" w:hAnsi="Sylfaen"/>
                <w:lang w:val="ka-GE"/>
              </w:rPr>
              <w:lastRenderedPageBreak/>
              <w:t>ბ) მეორე ბავშვის შეძენის შემთხვევაში - 200 ლარი</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15 100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lastRenderedPageBreak/>
              <w:t>9</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უპატრონო მიცვალებულის დაკრძალვის ხარჯი</w:t>
            </w:r>
          </w:p>
        </w:tc>
        <w:tc>
          <w:tcPr>
            <w:tcW w:w="1869"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4</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250</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1000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10</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 xml:space="preserve">სასურსათო პაკეტი მაღალმთიანი რეგიონის (თუშეთი) მუდმივად მცხოვრებთათვის </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27</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rPr>
                <w:rFonts w:ascii="Sylfaen" w:eastAsia="Times New Roman" w:hAnsi="Sylfaen"/>
                <w:lang w:val="ka-GE"/>
              </w:rPr>
            </w:pPr>
            <w:r w:rsidRPr="00894B27">
              <w:rPr>
                <w:rFonts w:ascii="Sylfaen" w:eastAsia="Times New Roman" w:hAnsi="Sylfaen"/>
                <w:lang w:val="ka-GE"/>
              </w:rPr>
              <w:t>ა) საახალწლოდ - 125</w:t>
            </w:r>
          </w:p>
          <w:p w:rsidR="00894B27" w:rsidRPr="00894B27" w:rsidRDefault="00894B27" w:rsidP="00894B27">
            <w:pPr>
              <w:rPr>
                <w:rFonts w:ascii="Sylfaen" w:eastAsia="Times New Roman" w:hAnsi="Sylfaen"/>
                <w:lang w:val="ka-GE"/>
              </w:rPr>
            </w:pPr>
            <w:r w:rsidRPr="00894B27">
              <w:rPr>
                <w:rFonts w:ascii="Sylfaen" w:eastAsia="Times New Roman" w:hAnsi="Sylfaen"/>
                <w:lang w:val="ka-GE"/>
              </w:rPr>
              <w:t>ბ) სააღდგომოდ - 100</w:t>
            </w:r>
          </w:p>
          <w:p w:rsidR="00894B27" w:rsidRPr="00894B27" w:rsidRDefault="00894B27" w:rsidP="00894B27">
            <w:pPr>
              <w:rPr>
                <w:rFonts w:ascii="Sylfaen" w:eastAsia="Times New Roman" w:hAnsi="Sylfaen"/>
                <w:lang w:val="ka-GE"/>
              </w:rPr>
            </w:pPr>
            <w:r w:rsidRPr="00894B27">
              <w:rPr>
                <w:rFonts w:ascii="Sylfaen" w:eastAsia="Times New Roman" w:hAnsi="Sylfaen"/>
                <w:lang w:val="ka-GE"/>
              </w:rPr>
              <w:t>სულ - 225</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3375</w:t>
            </w: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2485</w:t>
            </w:r>
          </w:p>
          <w:p w:rsidR="00894B27" w:rsidRPr="00894B27" w:rsidRDefault="00894B27" w:rsidP="00894B27">
            <w:pPr>
              <w:jc w:val="center"/>
              <w:rPr>
                <w:rFonts w:ascii="Sylfaen" w:eastAsia="Times New Roman" w:hAnsi="Sylfaen"/>
                <w:b/>
                <w:sz w:val="24"/>
                <w:szCs w:val="24"/>
              </w:rPr>
            </w:pPr>
            <w:r w:rsidRPr="00894B27">
              <w:rPr>
                <w:rFonts w:ascii="Sylfaen" w:eastAsia="Times New Roman" w:hAnsi="Sylfaen"/>
                <w:lang w:val="ka-GE"/>
              </w:rPr>
              <w:t xml:space="preserve">სულ - </w:t>
            </w:r>
            <w:r w:rsidRPr="00894B27">
              <w:rPr>
                <w:rFonts w:ascii="Sylfaen" w:eastAsia="Times New Roman" w:hAnsi="Sylfaen"/>
              </w:rPr>
              <w:t>5860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11</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მაღალმთიან რეგიონში (თუშეთი) მუდმივად და სეზონურად მცხოვრებ პირთა პირველადი სამედიცინო დახმარებისთვის საჭირო მედიკამენტების შეძენა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1500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12</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ა(ა)იპ „ახმეტის მუნიციპალიტეტის სოციალური სახლის“ უფასო სასადილოს 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color w:val="FF0000"/>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370</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color w:val="FF0000"/>
                <w:sz w:val="24"/>
                <w:szCs w:val="24"/>
                <w:lang w:val="ka-GE"/>
              </w:rPr>
            </w:pP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202 407</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13</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დიალიზის პროგრამით მოსარგებლე პირების ტრანსპორტირების ხარჯები</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20</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600 ლარი</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12 000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14</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ქირის ხარჯები</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4</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ყოველთვიურად არაუმეტეს 100 ლარი, 4 თვის განმავლობაში</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1600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15</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თანხის თანადაფინანსება.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color w:val="FF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წელიწადში არაუმეტეს 1000 ლარი</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46 943</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16</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დახმარება იმ პირების მიმართ,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rPr>
            </w:pPr>
            <w:r w:rsidRPr="00894B27">
              <w:rPr>
                <w:rFonts w:ascii="Sylfaen" w:eastAsia="Times New Roman" w:hAnsi="Sylfaen"/>
                <w:lang w:val="ka-GE"/>
              </w:rPr>
              <w:t>37 300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lastRenderedPageBreak/>
              <w:t>17</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უსინათლოთათვის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20</w:t>
            </w:r>
          </w:p>
        </w:tc>
        <w:tc>
          <w:tcPr>
            <w:tcW w:w="2708"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150</w:t>
            </w: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3000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18</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proofErr w:type="spellStart"/>
            <w:r w:rsidRPr="00894B27">
              <w:rPr>
                <w:rFonts w:ascii="Sylfaen" w:eastAsia="Times New Roman" w:hAnsi="Sylfaen"/>
                <w:lang w:val="ka-GE"/>
              </w:rPr>
              <w:t>რეინტეგრირებულ</w:t>
            </w:r>
            <w:proofErr w:type="spellEnd"/>
            <w:r w:rsidRPr="00894B27">
              <w:rPr>
                <w:rFonts w:ascii="Sylfaen" w:eastAsia="Times New Roman" w:hAnsi="Sylfaen"/>
                <w:lang w:val="ka-GE"/>
              </w:rPr>
              <w:t xml:space="preserve"> ბავშვთა ბიოლოგიური ოჯახების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color w:val="FF0000"/>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4</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500</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2000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19</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დაუნის სინდრომის მქონე პირთა ერთჯერადი დახმარება დაუნის სინდრომის საერთაშორისო დღისთვის</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color w:val="FF0000"/>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10</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150</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color w:val="FF0000"/>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1500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20</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proofErr w:type="spellStart"/>
            <w:r w:rsidRPr="00894B27">
              <w:rPr>
                <w:rFonts w:ascii="Sylfaen" w:eastAsia="Times New Roman" w:hAnsi="Sylfaen"/>
                <w:lang w:val="ka-GE"/>
              </w:rPr>
              <w:t>აუტისტური</w:t>
            </w:r>
            <w:proofErr w:type="spellEnd"/>
            <w:r w:rsidRPr="00894B27">
              <w:rPr>
                <w:rFonts w:ascii="Sylfaen" w:eastAsia="Times New Roman" w:hAnsi="Sylfaen"/>
                <w:lang w:val="ka-GE"/>
              </w:rPr>
              <w:t xml:space="preserve"> სპექტრის მქონე პირთა ერთჯერადი ფულადი დახმარება </w:t>
            </w:r>
            <w:proofErr w:type="spellStart"/>
            <w:r w:rsidRPr="00894B27">
              <w:rPr>
                <w:rFonts w:ascii="Sylfaen" w:eastAsia="Times New Roman" w:hAnsi="Sylfaen"/>
                <w:lang w:val="ka-GE"/>
              </w:rPr>
              <w:t>აუტიზმის</w:t>
            </w:r>
            <w:proofErr w:type="spellEnd"/>
            <w:r w:rsidRPr="00894B27">
              <w:rPr>
                <w:rFonts w:ascii="Sylfaen" w:eastAsia="Times New Roman" w:hAnsi="Sylfaen"/>
                <w:lang w:val="ka-GE"/>
              </w:rPr>
              <w:t xml:space="preserve"> ცნობადობის ამაღლების მსოფლიო დღისთვის</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10</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150</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color w:val="FF0000"/>
                <w:lang w:val="ka-GE"/>
              </w:rPr>
            </w:pPr>
          </w:p>
          <w:p w:rsidR="00894B27" w:rsidRPr="00894B27" w:rsidRDefault="00894B27" w:rsidP="00894B27">
            <w:pPr>
              <w:jc w:val="center"/>
              <w:rPr>
                <w:rFonts w:ascii="Sylfaen" w:eastAsia="Times New Roman" w:hAnsi="Sylfaen"/>
              </w:rPr>
            </w:pPr>
            <w:r w:rsidRPr="00894B27">
              <w:rPr>
                <w:rFonts w:ascii="Sylfaen" w:eastAsia="Times New Roman" w:hAnsi="Sylfaen"/>
              </w:rPr>
              <w:t>300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21</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both"/>
              <w:rPr>
                <w:rFonts w:ascii="Sylfaen" w:eastAsia="Times New Roman" w:hAnsi="Sylfaen"/>
                <w:lang w:val="ka-GE"/>
              </w:rPr>
            </w:pPr>
            <w:r w:rsidRPr="00894B27">
              <w:rPr>
                <w:rFonts w:ascii="Sylfaen" w:eastAsia="Times New Roman" w:hAnsi="Sylfaen"/>
                <w:lang w:val="ka-GE"/>
              </w:rPr>
              <w:t xml:space="preserve">საქართველოს ტერიტორიული მთლიანობისათვის ბრძოლაში მონაწილე </w:t>
            </w:r>
            <w:proofErr w:type="spellStart"/>
            <w:r w:rsidRPr="00894B27">
              <w:rPr>
                <w:rFonts w:ascii="Sylfaen" w:eastAsia="Times New Roman" w:hAnsi="Sylfaen"/>
                <w:lang w:val="ka-GE"/>
              </w:rPr>
              <w:t>შშმ</w:t>
            </w:r>
            <w:proofErr w:type="spellEnd"/>
            <w:r w:rsidRPr="00894B27">
              <w:rPr>
                <w:rFonts w:ascii="Sylfaen" w:eastAsia="Times New Roman" w:hAnsi="Sylfaen"/>
                <w:lang w:val="ka-GE"/>
              </w:rPr>
              <w:t xml:space="preserve"> ვეტერანების საკურორტო დასვენებისა და რეაბილიტაციის დახმარება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9</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color w:val="FF0000"/>
                <w:sz w:val="24"/>
                <w:szCs w:val="24"/>
                <w:lang w:val="ka-GE"/>
              </w:rPr>
            </w:pPr>
          </w:p>
          <w:p w:rsidR="00894B27" w:rsidRPr="00894B27" w:rsidRDefault="00894B27" w:rsidP="00894B27">
            <w:pPr>
              <w:jc w:val="center"/>
              <w:rPr>
                <w:rFonts w:ascii="Sylfaen" w:eastAsia="Times New Roman" w:hAnsi="Sylfaen"/>
                <w:sz w:val="24"/>
                <w:szCs w:val="24"/>
                <w:lang w:val="ka-GE"/>
              </w:rPr>
            </w:pPr>
            <w:r w:rsidRPr="00894B27">
              <w:rPr>
                <w:rFonts w:ascii="Sylfaen" w:eastAsia="Times New Roman" w:hAnsi="Sylfaen"/>
                <w:sz w:val="24"/>
                <w:szCs w:val="24"/>
                <w:lang w:val="ka-GE"/>
              </w:rPr>
              <w:t>600</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5400</w:t>
            </w:r>
          </w:p>
        </w:tc>
      </w:tr>
      <w:tr w:rsidR="00894B27" w:rsidRPr="00894B27" w:rsidTr="00894B27">
        <w:trPr>
          <w:trHeight w:val="1952"/>
        </w:trPr>
        <w:tc>
          <w:tcPr>
            <w:tcW w:w="630"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b/>
                <w:sz w:val="24"/>
                <w:szCs w:val="24"/>
                <w:lang w:val="ka-GE"/>
              </w:rPr>
            </w:pPr>
            <w:r w:rsidRPr="00894B27">
              <w:rPr>
                <w:rFonts w:ascii="Sylfaen" w:eastAsia="Times New Roman" w:hAnsi="Sylfaen"/>
                <w:b/>
                <w:sz w:val="24"/>
                <w:szCs w:val="24"/>
                <w:lang w:val="ka-GE"/>
              </w:rPr>
              <w:t>22</w:t>
            </w:r>
          </w:p>
        </w:tc>
        <w:tc>
          <w:tcPr>
            <w:tcW w:w="3782"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rPr>
                <w:rFonts w:ascii="Sylfaen" w:eastAsia="Times New Roman" w:hAnsi="Sylfaen"/>
                <w:lang w:val="ka-GE"/>
              </w:rPr>
            </w:pPr>
            <w:r w:rsidRPr="00894B27">
              <w:rPr>
                <w:rFonts w:ascii="Sylfaen" w:eastAsia="Times New Roman" w:hAnsi="Sylfaen"/>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15მ</w:t>
            </w:r>
            <w:r w:rsidRPr="00894B27">
              <w:rPr>
                <w:rFonts w:ascii="Sylfaen" w:eastAsia="Times New Roman" w:hAnsi="Sylfaen"/>
                <w:vertAlign w:val="superscript"/>
                <w:lang w:val="ka-GE"/>
              </w:rPr>
              <w:t xml:space="preserve">3 </w:t>
            </w:r>
            <w:r w:rsidRPr="00894B27">
              <w:rPr>
                <w:rFonts w:ascii="Sylfaen" w:eastAsia="Times New Roman" w:hAnsi="Sylfaen"/>
              </w:rPr>
              <w:t xml:space="preserve"> II</w:t>
            </w:r>
            <w:r w:rsidRPr="00894B27">
              <w:rPr>
                <w:rFonts w:ascii="Sylfaen" w:eastAsia="Times New Roman" w:hAnsi="Sylfaen"/>
                <w:lang w:val="ka-GE"/>
              </w:rPr>
              <w:t xml:space="preserve"> ხარისხის მერქნით (საშეშე მერქანი)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16</w:t>
            </w: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75</w:t>
            </w:r>
          </w:p>
        </w:tc>
        <w:tc>
          <w:tcPr>
            <w:tcW w:w="996"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p>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1200</w:t>
            </w:r>
          </w:p>
        </w:tc>
      </w:tr>
      <w:tr w:rsidR="00894B27" w:rsidRPr="00894B27" w:rsidTr="00894B27">
        <w:tc>
          <w:tcPr>
            <w:tcW w:w="630"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3782"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894B27" w:rsidRPr="00894B27" w:rsidRDefault="00894B27" w:rsidP="00894B27">
            <w:pPr>
              <w:jc w:val="center"/>
              <w:rPr>
                <w:rFonts w:ascii="Sylfaen" w:eastAsia="Times New Roman" w:hAnsi="Sylfaen"/>
                <w:b/>
                <w:sz w:val="24"/>
                <w:szCs w:val="24"/>
                <w:lang w:val="ka-GE"/>
              </w:rPr>
            </w:pPr>
          </w:p>
        </w:tc>
        <w:tc>
          <w:tcPr>
            <w:tcW w:w="996" w:type="dxa"/>
            <w:tcBorders>
              <w:top w:val="single" w:sz="4" w:space="0" w:color="auto"/>
              <w:left w:val="single" w:sz="4" w:space="0" w:color="auto"/>
              <w:bottom w:val="single" w:sz="4" w:space="0" w:color="auto"/>
              <w:right w:val="single" w:sz="4" w:space="0" w:color="auto"/>
            </w:tcBorders>
            <w:hideMark/>
          </w:tcPr>
          <w:p w:rsidR="00894B27" w:rsidRPr="00894B27" w:rsidRDefault="00894B27" w:rsidP="00894B27">
            <w:pPr>
              <w:jc w:val="center"/>
              <w:rPr>
                <w:rFonts w:ascii="Sylfaen" w:eastAsia="Times New Roman" w:hAnsi="Sylfaen"/>
                <w:lang w:val="ka-GE"/>
              </w:rPr>
            </w:pPr>
            <w:r w:rsidRPr="00894B27">
              <w:rPr>
                <w:rFonts w:ascii="Sylfaen" w:eastAsia="Times New Roman" w:hAnsi="Sylfaen"/>
                <w:lang w:val="ka-GE"/>
              </w:rPr>
              <w:t>სულ 612 907</w:t>
            </w:r>
          </w:p>
        </w:tc>
      </w:tr>
    </w:tbl>
    <w:p w:rsidR="00894B27" w:rsidRPr="00894B27" w:rsidRDefault="00894B27" w:rsidP="00894B27">
      <w:pPr>
        <w:spacing w:after="200" w:line="276" w:lineRule="auto"/>
        <w:rPr>
          <w:rFonts w:ascii="Sylfaen" w:eastAsia="Times New Roman" w:hAnsi="Sylfaen" w:cs="Times New Roman"/>
          <w:lang w:val="ka-GE"/>
        </w:rPr>
      </w:pPr>
    </w:p>
    <w:p w:rsidR="00894B27" w:rsidRPr="00894B27" w:rsidRDefault="00894B27" w:rsidP="00894B27">
      <w:pPr>
        <w:spacing w:after="200" w:line="276" w:lineRule="auto"/>
        <w:jc w:val="both"/>
        <w:rPr>
          <w:rFonts w:ascii="Sylfaen" w:eastAsia="Times New Roman" w:hAnsi="Sylfaen" w:cs="Times New Roman"/>
        </w:rPr>
      </w:pPr>
    </w:p>
    <w:p w:rsidR="00894B27" w:rsidRPr="00894B27" w:rsidRDefault="00894B27" w:rsidP="00894B27">
      <w:pPr>
        <w:spacing w:after="200" w:line="276" w:lineRule="auto"/>
        <w:rPr>
          <w:rFonts w:ascii="Sylfaen" w:eastAsia="Times New Roman" w:hAnsi="Sylfaen" w:cs="Times New Roman"/>
          <w:lang w:val="ka-GE"/>
        </w:rPr>
      </w:pPr>
    </w:p>
    <w:p w:rsidR="00894B27" w:rsidRPr="00894B27" w:rsidRDefault="00894B27" w:rsidP="00894B27">
      <w:pPr>
        <w:spacing w:after="200" w:line="276" w:lineRule="auto"/>
        <w:rPr>
          <w:rFonts w:ascii="Sylfaen" w:eastAsia="Times New Roman" w:hAnsi="Sylfaen" w:cs="Times New Roman"/>
        </w:rPr>
      </w:pPr>
    </w:p>
    <w:p w:rsidR="00894B27" w:rsidRPr="00894B27" w:rsidRDefault="00894B27" w:rsidP="00894B27">
      <w:pPr>
        <w:spacing w:after="200" w:line="276" w:lineRule="auto"/>
        <w:rPr>
          <w:rFonts w:ascii="Sylfaen" w:eastAsia="Times New Roman" w:hAnsi="Sylfaen" w:cs="Times New Roman"/>
          <w:lang w:val="ka-GE"/>
        </w:rPr>
      </w:pPr>
    </w:p>
    <w:p w:rsidR="00894B27" w:rsidRPr="00894B27" w:rsidRDefault="00894B27" w:rsidP="00894B27">
      <w:pPr>
        <w:spacing w:after="200" w:line="276" w:lineRule="auto"/>
        <w:rPr>
          <w:rFonts w:ascii="Sylfaen" w:eastAsia="Times New Roman" w:hAnsi="Sylfaen" w:cs="Times New Roman"/>
          <w:lang w:val="ka-GE"/>
        </w:rPr>
      </w:pPr>
      <w:r w:rsidRPr="00894B27">
        <w:rPr>
          <w:rFonts w:ascii="Sylfaen" w:eastAsia="Times New Roman" w:hAnsi="Sylfaen" w:cs="Times New Roman"/>
          <w:lang w:val="ka-GE"/>
        </w:rPr>
        <w:t>ახმეტის მუნიციპალიტეტის                                               თამარ ყეინიშვილი</w:t>
      </w:r>
    </w:p>
    <w:p w:rsidR="00894B27" w:rsidRPr="00894B27" w:rsidRDefault="00894B27" w:rsidP="00894B27">
      <w:pPr>
        <w:spacing w:after="200" w:line="276" w:lineRule="auto"/>
        <w:rPr>
          <w:rFonts w:ascii="Sylfaen" w:eastAsia="Times New Roman" w:hAnsi="Sylfaen" w:cs="Times New Roman"/>
        </w:rPr>
      </w:pPr>
      <w:r w:rsidRPr="00894B27">
        <w:rPr>
          <w:rFonts w:ascii="Sylfaen" w:eastAsia="Times New Roman" w:hAnsi="Sylfaen" w:cs="Times New Roman"/>
          <w:lang w:val="ka-GE"/>
        </w:rPr>
        <w:t>საკრებულოს თავმჯდომარე</w:t>
      </w:r>
    </w:p>
    <w:p w:rsidR="00894B27" w:rsidRPr="00894B27" w:rsidRDefault="00894B27" w:rsidP="00894B27">
      <w:pPr>
        <w:spacing w:after="200" w:line="276" w:lineRule="auto"/>
        <w:rPr>
          <w:rFonts w:ascii="Sylfaen" w:eastAsia="Times New Roman" w:hAnsi="Sylfaen" w:cs="Times New Roman"/>
          <w:lang w:val="ka-GE"/>
        </w:rPr>
      </w:pPr>
    </w:p>
    <w:p w:rsidR="00894B27" w:rsidRPr="00894B27" w:rsidRDefault="00894B27" w:rsidP="00894B27">
      <w:pPr>
        <w:spacing w:after="200" w:line="276" w:lineRule="auto"/>
        <w:rPr>
          <w:rFonts w:ascii="Sylfaen" w:eastAsia="Times New Roman" w:hAnsi="Sylfaen" w:cs="Times New Roman"/>
          <w:lang w:val="ka-GE"/>
        </w:rPr>
      </w:pPr>
    </w:p>
    <w:p w:rsidR="00894B27" w:rsidRPr="00894B27" w:rsidRDefault="00894B27" w:rsidP="00894B27">
      <w:pPr>
        <w:spacing w:after="200" w:line="276" w:lineRule="auto"/>
        <w:rPr>
          <w:rFonts w:ascii="Sylfaen" w:eastAsia="Times New Roman" w:hAnsi="Sylfaen" w:cs="Times New Roman"/>
          <w:lang w:val="ka-GE"/>
        </w:rPr>
      </w:pPr>
    </w:p>
    <w:p w:rsidR="00DD7FE3" w:rsidRDefault="00DD7FE3">
      <w:bookmarkStart w:id="0" w:name="_GoBack"/>
      <w:bookmarkEnd w:id="0"/>
    </w:p>
    <w:sectPr w:rsidR="00DD7FE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5065F"/>
    <w:multiLevelType w:val="hybridMultilevel"/>
    <w:tmpl w:val="7B8C4A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CE"/>
    <w:rsid w:val="008810CE"/>
    <w:rsid w:val="00894B27"/>
    <w:rsid w:val="00DD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4B2EA-EB1F-4FE6-8318-4F40643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B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2</cp:revision>
  <dcterms:created xsi:type="dcterms:W3CDTF">2020-12-02T08:37:00Z</dcterms:created>
  <dcterms:modified xsi:type="dcterms:W3CDTF">2020-12-02T08:38:00Z</dcterms:modified>
</cp:coreProperties>
</file>